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EC1918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FF76F0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FF76F0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27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0355C4" w:rsidRDefault="000355C4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883AF5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576B87" w:rsidRPr="00576B87" w:rsidRDefault="007F05D9" w:rsidP="00601E4F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TOTAL Y ABSOLUTO</w:t>
      </w:r>
      <w:r w:rsidRPr="00601E4F"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 </w:t>
      </w:r>
      <w:r w:rsidR="006C34D3"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RESPALDO </w:t>
      </w:r>
      <w:r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DEL</w:t>
      </w:r>
      <w:r w:rsidRPr="007F05D9">
        <w:t xml:space="preserve"> </w:t>
      </w:r>
      <w:r w:rsidRPr="007F05D9"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CEN A LA DIRIGENCIA LOCAL DEL PRI</w:t>
      </w:r>
    </w:p>
    <w:p w:rsidR="00450FCE" w:rsidRPr="00450FCE" w:rsidRDefault="00450FCE" w:rsidP="00F80C84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601E4F" w:rsidRPr="00601E4F" w:rsidRDefault="00601E4F" w:rsidP="00F80C84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Ochoa Reza se reunió con la Presidenta y Secretario del Comité Directivo Estatal (CDE) del PRI respectivamente</w:t>
      </w:r>
    </w:p>
    <w:p w:rsidR="00601E4F" w:rsidRPr="00601E4F" w:rsidRDefault="00601E4F" w:rsidP="00601E4F">
      <w:pPr>
        <w:jc w:val="both"/>
        <w:rPr>
          <w:rFonts w:cs="Arial"/>
          <w:color w:val="000000" w:themeColor="text1"/>
          <w:sz w:val="24"/>
          <w:szCs w:val="24"/>
        </w:rPr>
      </w:pPr>
    </w:p>
    <w:p w:rsidR="00D93EED" w:rsidRPr="009758C3" w:rsidRDefault="00601E4F" w:rsidP="00F80C84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El líder priista les pidió tener una comunicación estrecha para coordinar los trabajos sobre la impugnación y su nulidad</w:t>
      </w:r>
    </w:p>
    <w:p w:rsidR="009758C3" w:rsidRPr="009758C3" w:rsidRDefault="009758C3" w:rsidP="009758C3">
      <w:pPr>
        <w:pStyle w:val="Prrafodelista"/>
        <w:rPr>
          <w:rFonts w:cs="Arial"/>
          <w:color w:val="000000" w:themeColor="text1"/>
          <w:sz w:val="24"/>
          <w:szCs w:val="24"/>
        </w:rPr>
      </w:pPr>
    </w:p>
    <w:p w:rsidR="009758C3" w:rsidRPr="00F80C84" w:rsidRDefault="009758C3" w:rsidP="00F80C84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Exhortó de manera elemental a los priistas en el estado a seguir trabajando y dejar intereses personales de lado</w:t>
      </w:r>
    </w:p>
    <w:p w:rsidR="00D85EC8" w:rsidRPr="00D85EC8" w:rsidRDefault="00D85EC8" w:rsidP="00D85EC8">
      <w:pPr>
        <w:rPr>
          <w:rFonts w:cs="Arial"/>
          <w:color w:val="000000" w:themeColor="text1"/>
          <w:sz w:val="24"/>
          <w:szCs w:val="24"/>
        </w:rPr>
      </w:pPr>
    </w:p>
    <w:p w:rsidR="00883AF5" w:rsidRDefault="007F05D9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</w:t>
      </w:r>
      <w:r w:rsidR="00883AF5">
        <w:rPr>
          <w:rFonts w:cs="Arial"/>
          <w:sz w:val="24"/>
          <w:szCs w:val="24"/>
        </w:rPr>
        <w:t xml:space="preserve">enen mi </w:t>
      </w:r>
      <w:r>
        <w:rPr>
          <w:rFonts w:cs="Arial"/>
          <w:sz w:val="24"/>
          <w:szCs w:val="24"/>
        </w:rPr>
        <w:t xml:space="preserve">total y absoluto </w:t>
      </w:r>
      <w:r w:rsidR="00883AF5">
        <w:rPr>
          <w:rFonts w:cs="Arial"/>
          <w:sz w:val="24"/>
          <w:szCs w:val="24"/>
        </w:rPr>
        <w:t xml:space="preserve">respaldo para seguir trabajando con disciplina y unidad, cuenten conmigo </w:t>
      </w:r>
      <w:r w:rsidR="00C74F35">
        <w:rPr>
          <w:rFonts w:cs="Arial"/>
          <w:sz w:val="24"/>
          <w:szCs w:val="24"/>
        </w:rPr>
        <w:t xml:space="preserve">y yo también cuento con ustedes </w:t>
      </w:r>
      <w:r w:rsidR="00501A25">
        <w:rPr>
          <w:rFonts w:cs="Arial"/>
          <w:sz w:val="24"/>
          <w:szCs w:val="24"/>
        </w:rPr>
        <w:t>para que el PRI siga siendo un partido competitivo y cercano a las personas</w:t>
      </w:r>
      <w:r w:rsidR="00C07B03">
        <w:rPr>
          <w:rFonts w:cs="Arial"/>
          <w:sz w:val="24"/>
          <w:szCs w:val="24"/>
        </w:rPr>
        <w:t xml:space="preserve">, </w:t>
      </w:r>
      <w:r w:rsidR="00883AF5">
        <w:rPr>
          <w:rFonts w:cs="Arial"/>
          <w:sz w:val="24"/>
          <w:szCs w:val="24"/>
        </w:rPr>
        <w:t xml:space="preserve">aseguró </w:t>
      </w:r>
      <w:r w:rsidR="00883AF5" w:rsidRPr="00D85EC8">
        <w:rPr>
          <w:rFonts w:cs="Arial"/>
          <w:sz w:val="24"/>
          <w:szCs w:val="24"/>
        </w:rPr>
        <w:t xml:space="preserve">el </w:t>
      </w:r>
      <w:r w:rsidR="00883AF5">
        <w:rPr>
          <w:rFonts w:cs="Arial"/>
          <w:sz w:val="24"/>
          <w:szCs w:val="24"/>
        </w:rPr>
        <w:t>Preside</w:t>
      </w:r>
      <w:r w:rsidR="00883AF5" w:rsidRPr="00D85EC8">
        <w:rPr>
          <w:rFonts w:cs="Arial"/>
          <w:sz w:val="24"/>
          <w:szCs w:val="24"/>
        </w:rPr>
        <w:t>nte del Comité Ejecutivo Nacional del PRI, Enrique Ochoa Reza</w:t>
      </w:r>
      <w:r w:rsidR="00883AF5">
        <w:rPr>
          <w:rFonts w:cs="Arial"/>
          <w:sz w:val="24"/>
          <w:szCs w:val="24"/>
        </w:rPr>
        <w:t xml:space="preserve"> al reunirse con la dirigencia </w:t>
      </w:r>
      <w:r w:rsidR="005330D3">
        <w:rPr>
          <w:rFonts w:cs="Arial"/>
          <w:sz w:val="24"/>
          <w:szCs w:val="24"/>
        </w:rPr>
        <w:t xml:space="preserve">de Aguascalientes </w:t>
      </w:r>
      <w:r w:rsidR="00883AF5">
        <w:rPr>
          <w:rFonts w:cs="Arial"/>
          <w:sz w:val="24"/>
          <w:szCs w:val="24"/>
        </w:rPr>
        <w:t>del PRI.</w:t>
      </w: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883AF5" w:rsidRDefault="00883AF5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Luego de la reunión nacional de Presidentes Estatales de las 32 entidades federativas con la dirigencia nacional de nuestro instituto político, Ochoa Reza se reunió con la Presidenta y Secretario del Comité Directivo Estatal (CDE) del PRI respectivamente, Norma Esparza Herrera y Alberto Solís Farías</w:t>
      </w:r>
      <w:r w:rsidR="005330D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para dialogar sobre Aguascalientes.</w:t>
      </w: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883AF5" w:rsidRDefault="00883AF5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líder priista les pidió tener una comunicación estrecha para </w:t>
      </w:r>
      <w:r w:rsidR="005330D3">
        <w:rPr>
          <w:rFonts w:cs="Arial"/>
          <w:sz w:val="24"/>
          <w:szCs w:val="24"/>
        </w:rPr>
        <w:t>coordinar los trabajos sobre la impugnación y su nulidad</w:t>
      </w:r>
      <w:r w:rsidR="00601E4F">
        <w:rPr>
          <w:rFonts w:cs="Arial"/>
          <w:sz w:val="24"/>
          <w:szCs w:val="24"/>
        </w:rPr>
        <w:t>,</w:t>
      </w:r>
      <w:r w:rsidR="005330D3">
        <w:rPr>
          <w:rFonts w:cs="Arial"/>
          <w:sz w:val="24"/>
          <w:szCs w:val="24"/>
        </w:rPr>
        <w:t xml:space="preserve"> además de preparar el escenario político para los procesos electorales del año 2018 con la renovación del ejecutivo federal.</w:t>
      </w: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“Los necesito para que trabajemos de manera contundente, se requiere de su talento para que el PRI y el gobierno sigan dando resultados positivos, así como beneficios para los ciudadanos”, aseveró.</w:t>
      </w: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Exhortó de manera elemental a los priistas en el estado a seguir trabajando y dejar intereses personales de lado, por el contrario armonizar y abanderar las causas sociales de manera responsable.</w:t>
      </w:r>
    </w:p>
    <w:p w:rsidR="005330D3" w:rsidRDefault="005330D3" w:rsidP="005330D3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E0991" w:rsidRDefault="005A547C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“Es indispensable y los necesitamos a todos, señoras y señores no podemos seguir con simulaciones, la política de género es una de ellas tenemos que olvidar ese debate que a veces hay entre hombres y mujeres priistas”, abundó.</w:t>
      </w:r>
    </w:p>
    <w:p w:rsidR="005A547C" w:rsidRDefault="005A547C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5A547C" w:rsidRDefault="005A547C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>Por su parte la Presidenta del CDE del PRI, Norma Esparza Herrera, señaló que en Aguascalientes se continuará trabajando con la mejor actitud y entusiasmo al igual que en diciembre del 2015</w:t>
      </w:r>
      <w:r w:rsidR="009758C3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fecha en que la dirigencia llegó para renovar y refrescar el priismo en el estado.</w:t>
      </w:r>
    </w:p>
    <w:p w:rsidR="005A547C" w:rsidRDefault="005A547C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5A547C" w:rsidRDefault="005A547C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“Seguimos dando la batalla en tribunales, en la calle día a día, en todo el estado con ánimos renovados, no estamos perdiendo el tiempo, por el contrario de manera sólida y firme se avanza para acercarnos con nuestra militancia y con las personas en general para que conozcan del buen trabajo de los gobiernos del PRI”, señaló.</w:t>
      </w:r>
    </w:p>
    <w:p w:rsidR="005A547C" w:rsidRDefault="005A547C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EE023A" w:rsidRDefault="00F57505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Para concluir la dirigente en el estado Norma Esparza, </w:t>
      </w:r>
      <w:r w:rsidR="00EE023A" w:rsidRPr="00EE023A">
        <w:rPr>
          <w:rFonts w:cs="Arial"/>
          <w:color w:val="000000" w:themeColor="text1"/>
          <w:sz w:val="24"/>
          <w:szCs w:val="24"/>
        </w:rPr>
        <w:t xml:space="preserve">le extendió una cordial invitación para que el </w:t>
      </w:r>
      <w:r w:rsidR="00EE023A">
        <w:rPr>
          <w:rFonts w:cs="Arial"/>
          <w:color w:val="000000" w:themeColor="text1"/>
          <w:sz w:val="24"/>
          <w:szCs w:val="24"/>
        </w:rPr>
        <w:t xml:space="preserve">próximo </w:t>
      </w:r>
      <w:r w:rsidR="00EE023A" w:rsidRPr="00EE023A">
        <w:rPr>
          <w:rFonts w:cs="Arial"/>
          <w:color w:val="000000" w:themeColor="text1"/>
          <w:sz w:val="24"/>
          <w:szCs w:val="24"/>
        </w:rPr>
        <w:t xml:space="preserve">sábado </w:t>
      </w:r>
      <w:r w:rsidR="00117206">
        <w:rPr>
          <w:rFonts w:cs="Arial"/>
          <w:color w:val="000000" w:themeColor="text1"/>
          <w:sz w:val="24"/>
          <w:szCs w:val="24"/>
        </w:rPr>
        <w:t xml:space="preserve">Ochoa Reza </w:t>
      </w:r>
      <w:r w:rsidR="00EE023A" w:rsidRPr="00EE023A">
        <w:rPr>
          <w:rFonts w:cs="Arial"/>
          <w:color w:val="000000" w:themeColor="text1"/>
          <w:sz w:val="24"/>
          <w:szCs w:val="24"/>
        </w:rPr>
        <w:t xml:space="preserve">encabece </w:t>
      </w:r>
      <w:r w:rsidR="00117206">
        <w:rPr>
          <w:rFonts w:cs="Arial"/>
          <w:color w:val="000000" w:themeColor="text1"/>
          <w:sz w:val="24"/>
          <w:szCs w:val="24"/>
        </w:rPr>
        <w:t xml:space="preserve">en Aguascalientes </w:t>
      </w:r>
      <w:r w:rsidR="00EE023A" w:rsidRPr="00EE023A">
        <w:rPr>
          <w:rFonts w:cs="Arial"/>
          <w:color w:val="000000" w:themeColor="text1"/>
          <w:sz w:val="24"/>
          <w:szCs w:val="24"/>
        </w:rPr>
        <w:t xml:space="preserve">una reunión con estructuras, además de señalar </w:t>
      </w:r>
      <w:r>
        <w:rPr>
          <w:rFonts w:cs="Arial"/>
          <w:color w:val="000000" w:themeColor="text1"/>
          <w:sz w:val="24"/>
          <w:szCs w:val="24"/>
        </w:rPr>
        <w:t xml:space="preserve">que </w:t>
      </w:r>
      <w:r w:rsidR="00117206">
        <w:rPr>
          <w:rFonts w:cs="Arial"/>
          <w:color w:val="000000" w:themeColor="text1"/>
          <w:sz w:val="24"/>
          <w:szCs w:val="24"/>
        </w:rPr>
        <w:t xml:space="preserve">cada día se fortalece la impugnación </w:t>
      </w:r>
      <w:r>
        <w:rPr>
          <w:rFonts w:cs="Arial"/>
          <w:color w:val="000000" w:themeColor="text1"/>
          <w:sz w:val="24"/>
          <w:szCs w:val="24"/>
        </w:rPr>
        <w:t xml:space="preserve">para que </w:t>
      </w:r>
      <w:r w:rsidR="00117206">
        <w:rPr>
          <w:rFonts w:cs="Arial"/>
          <w:color w:val="000000" w:themeColor="text1"/>
          <w:sz w:val="24"/>
          <w:szCs w:val="24"/>
        </w:rPr>
        <w:t xml:space="preserve">en breve se </w:t>
      </w:r>
      <w:r>
        <w:rPr>
          <w:rFonts w:cs="Arial"/>
          <w:color w:val="000000" w:themeColor="text1"/>
          <w:sz w:val="24"/>
          <w:szCs w:val="24"/>
        </w:rPr>
        <w:t>demuestre en tribunales que la justica electora</w:t>
      </w:r>
      <w:r w:rsidR="00EE023A">
        <w:rPr>
          <w:rFonts w:cs="Arial"/>
          <w:color w:val="000000" w:themeColor="text1"/>
          <w:sz w:val="24"/>
          <w:szCs w:val="24"/>
        </w:rPr>
        <w:t>l dará la razón al PRI.</w:t>
      </w:r>
    </w:p>
    <w:p w:rsidR="00EE023A" w:rsidRDefault="00EE023A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5A547C" w:rsidRDefault="00EE023A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“P</w:t>
      </w:r>
      <w:r w:rsidR="00F57505">
        <w:rPr>
          <w:rFonts w:cs="Arial"/>
          <w:color w:val="000000" w:themeColor="text1"/>
          <w:sz w:val="24"/>
          <w:szCs w:val="24"/>
        </w:rPr>
        <w:t>ara que entonces se pueda dar una nueva elección y se reafirm</w:t>
      </w:r>
      <w:bookmarkStart w:id="0" w:name="_GoBack"/>
      <w:bookmarkEnd w:id="0"/>
      <w:r w:rsidR="00F57505">
        <w:rPr>
          <w:rFonts w:cs="Arial"/>
          <w:color w:val="000000" w:themeColor="text1"/>
          <w:sz w:val="24"/>
          <w:szCs w:val="24"/>
        </w:rPr>
        <w:t xml:space="preserve">e que la abanderada de la Coalición </w:t>
      </w:r>
      <w:r>
        <w:rPr>
          <w:rFonts w:cs="Arial"/>
          <w:color w:val="000000" w:themeColor="text1"/>
          <w:sz w:val="24"/>
          <w:szCs w:val="24"/>
        </w:rPr>
        <w:t>“</w:t>
      </w:r>
      <w:r w:rsidR="00F57505">
        <w:rPr>
          <w:rFonts w:cs="Arial"/>
          <w:color w:val="000000" w:themeColor="text1"/>
          <w:sz w:val="24"/>
          <w:szCs w:val="24"/>
        </w:rPr>
        <w:t>Aguascalientes Grande y Para Todos” Lorena Martínez</w:t>
      </w:r>
      <w:r>
        <w:rPr>
          <w:rFonts w:cs="Arial"/>
          <w:color w:val="000000" w:themeColor="text1"/>
          <w:sz w:val="24"/>
          <w:szCs w:val="24"/>
        </w:rPr>
        <w:t>,</w:t>
      </w:r>
      <w:r w:rsidR="00F57505">
        <w:rPr>
          <w:rFonts w:cs="Arial"/>
          <w:color w:val="000000" w:themeColor="text1"/>
          <w:sz w:val="24"/>
          <w:szCs w:val="24"/>
        </w:rPr>
        <w:t xml:space="preserve"> es la mejor opción para el estado que busca el bien generalizado de las personas con mejores empleos, seguridad, educación</w:t>
      </w:r>
      <w:r w:rsidR="009758C3">
        <w:rPr>
          <w:rFonts w:cs="Arial"/>
          <w:color w:val="000000" w:themeColor="text1"/>
          <w:sz w:val="24"/>
          <w:szCs w:val="24"/>
        </w:rPr>
        <w:t>, salud, cultura, convivencia y con crecimiento así como estabilidad.</w:t>
      </w:r>
    </w:p>
    <w:p w:rsidR="009758C3" w:rsidRDefault="009758C3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F57505" w:rsidRDefault="00F57505" w:rsidP="00FE0991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F57505" w:rsidRDefault="00F57505" w:rsidP="00F57505">
      <w:pPr>
        <w:jc w:val="both"/>
        <w:rPr>
          <w:rFonts w:cs="Arial"/>
          <w:sz w:val="24"/>
          <w:szCs w:val="24"/>
        </w:rPr>
      </w:pPr>
    </w:p>
    <w:p w:rsidR="00FE0991" w:rsidRDefault="00FE0991" w:rsidP="00FE0991">
      <w:pPr>
        <w:shd w:val="clear" w:color="auto" w:fill="FFFFFF"/>
        <w:suppressAutoHyphens/>
        <w:autoSpaceDN w:val="0"/>
        <w:jc w:val="both"/>
        <w:rPr>
          <w:rFonts w:cs="Arial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D1FF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D1FF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FF76F0">
      <w:rPr>
        <w:smallCaps w:val="0"/>
        <w:sz w:val="32"/>
        <w:szCs w:val="32"/>
      </w:rPr>
      <w:t>76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2"/>
  </w:num>
  <w:num w:numId="23">
    <w:abstractNumId w:val="1"/>
  </w:num>
  <w:num w:numId="24">
    <w:abstractNumId w:val="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696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446B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6568"/>
    <w:rsid w:val="001F65A6"/>
    <w:rsid w:val="00200088"/>
    <w:rsid w:val="00200600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2AD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50A3"/>
    <w:rsid w:val="00366874"/>
    <w:rsid w:val="00370E1B"/>
    <w:rsid w:val="00371404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6AD8"/>
    <w:rsid w:val="00521961"/>
    <w:rsid w:val="005224B9"/>
    <w:rsid w:val="005233D6"/>
    <w:rsid w:val="005236A5"/>
    <w:rsid w:val="005244A1"/>
    <w:rsid w:val="00525B4D"/>
    <w:rsid w:val="00527659"/>
    <w:rsid w:val="00530976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446"/>
    <w:rsid w:val="00555742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547C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44D6"/>
    <w:rsid w:val="005E5172"/>
    <w:rsid w:val="005E6538"/>
    <w:rsid w:val="005E74A3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649A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3AF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174E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EF9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47A"/>
    <w:rsid w:val="00B447B1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D01C8"/>
    <w:rsid w:val="00BD0931"/>
    <w:rsid w:val="00BD2572"/>
    <w:rsid w:val="00BE198C"/>
    <w:rsid w:val="00BE50A0"/>
    <w:rsid w:val="00BE7419"/>
    <w:rsid w:val="00BF175A"/>
    <w:rsid w:val="00BF1CEB"/>
    <w:rsid w:val="00BF3DDF"/>
    <w:rsid w:val="00BF5D4F"/>
    <w:rsid w:val="00BF5D6F"/>
    <w:rsid w:val="00C01F0F"/>
    <w:rsid w:val="00C0233D"/>
    <w:rsid w:val="00C03893"/>
    <w:rsid w:val="00C0608D"/>
    <w:rsid w:val="00C070F4"/>
    <w:rsid w:val="00C07940"/>
    <w:rsid w:val="00C07B03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57505"/>
    <w:rsid w:val="00F608C7"/>
    <w:rsid w:val="00F61496"/>
    <w:rsid w:val="00F627B3"/>
    <w:rsid w:val="00F62C08"/>
    <w:rsid w:val="00F65CC1"/>
    <w:rsid w:val="00F65F01"/>
    <w:rsid w:val="00F67616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E03E4"/>
    <w:rsid w:val="00FE0991"/>
    <w:rsid w:val="00FE2DFE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341C-A28D-45B8-BD0C-97CB8D6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18</cp:revision>
  <cp:lastPrinted>2016-07-12T18:13:00Z</cp:lastPrinted>
  <dcterms:created xsi:type="dcterms:W3CDTF">2016-07-27T13:30:00Z</dcterms:created>
  <dcterms:modified xsi:type="dcterms:W3CDTF">2016-07-27T19:51:00Z</dcterms:modified>
</cp:coreProperties>
</file>