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FA3B25F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4704F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67289F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4EFF3DD7" w14:textId="77C1C848" w:rsidR="00BA4EDB" w:rsidRDefault="00BA4EDB" w:rsidP="00A04154">
      <w:pPr>
        <w:jc w:val="both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02D60AD" w14:textId="77777777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6C16E5D5" w14:textId="457C0880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0BF3CFB1" w14:textId="2CEF7C37" w:rsidR="00B6298C" w:rsidRDefault="00B6298C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B6298C">
        <w:rPr>
          <w:rFonts w:eastAsiaTheme="minorHAnsi" w:cs="Arial"/>
          <w:b/>
          <w:bCs/>
          <w:color w:val="000000" w:themeColor="text1"/>
          <w:lang w:val="es-MX" w:eastAsia="es-MX"/>
        </w:rPr>
        <w:t>MORENA MIENTE, LOS RECURSOS DEL FONDO DE SALUD NO SE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</w:t>
      </w:r>
      <w:r w:rsidRPr="00B6298C">
        <w:rPr>
          <w:rFonts w:eastAsiaTheme="minorHAnsi" w:cs="Arial"/>
          <w:b/>
          <w:bCs/>
          <w:color w:val="000000" w:themeColor="text1"/>
          <w:lang w:val="es-MX" w:eastAsia="es-MX"/>
        </w:rPr>
        <w:t>DESTINARÁN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</w:t>
      </w:r>
      <w:r w:rsidRPr="00B6298C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A LA VACUNA CONTRA EL COVID19: </w:t>
      </w:r>
      <w:r w:rsidR="001A11B5">
        <w:rPr>
          <w:rFonts w:eastAsiaTheme="minorHAnsi" w:cs="Arial"/>
          <w:b/>
          <w:bCs/>
          <w:color w:val="000000" w:themeColor="text1"/>
          <w:lang w:val="es-MX" w:eastAsia="es-MX"/>
        </w:rPr>
        <w:t>NORMA GUEL</w:t>
      </w:r>
    </w:p>
    <w:p w14:paraId="7B603D51" w14:textId="77777777" w:rsidR="00B6298C" w:rsidRPr="00B6298C" w:rsidRDefault="00B6298C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23737EE9" w14:textId="70F739D3" w:rsidR="00B6298C" w:rsidRDefault="00B6298C" w:rsidP="00B6298C">
      <w:pPr>
        <w:autoSpaceDE w:val="0"/>
        <w:autoSpaceDN w:val="0"/>
        <w:adjustRightInd w:val="0"/>
        <w:rPr>
          <w:rFonts w:ascii="ArialMT" w:hAnsi="ArialMT" w:cs="ArialMT"/>
          <w:color w:val="000000"/>
          <w:lang w:val="es-MX" w:eastAsia="es-MX"/>
        </w:rPr>
      </w:pPr>
    </w:p>
    <w:p w14:paraId="20D880AC" w14:textId="77777777" w:rsidR="00B6298C" w:rsidRPr="00B6298C" w:rsidRDefault="00B6298C" w:rsidP="00B6298C">
      <w:pPr>
        <w:autoSpaceDE w:val="0"/>
        <w:autoSpaceDN w:val="0"/>
        <w:adjustRightInd w:val="0"/>
        <w:rPr>
          <w:color w:val="000000"/>
          <w:sz w:val="24"/>
          <w:szCs w:val="24"/>
          <w:lang w:val="es-MX" w:eastAsia="es-MX"/>
        </w:rPr>
      </w:pPr>
      <w:r w:rsidRPr="00B6298C">
        <w:rPr>
          <w:color w:val="000000"/>
          <w:sz w:val="24"/>
          <w:szCs w:val="24"/>
          <w:lang w:val="es-MX" w:eastAsia="es-MX"/>
        </w:rPr>
        <w:t>• En ninguna parte de la reforma se obliga a las autoridades a utilizar esos</w:t>
      </w:r>
    </w:p>
    <w:p w14:paraId="2CCCF9A9" w14:textId="0946BA52" w:rsidR="00B6298C" w:rsidRDefault="00B6298C" w:rsidP="00B6298C">
      <w:pPr>
        <w:autoSpaceDE w:val="0"/>
        <w:autoSpaceDN w:val="0"/>
        <w:adjustRightInd w:val="0"/>
        <w:rPr>
          <w:color w:val="000000"/>
          <w:sz w:val="24"/>
          <w:szCs w:val="24"/>
          <w:lang w:val="es-MX" w:eastAsia="es-MX"/>
        </w:rPr>
      </w:pPr>
      <w:r w:rsidRPr="00B6298C">
        <w:rPr>
          <w:color w:val="000000"/>
          <w:sz w:val="24"/>
          <w:szCs w:val="24"/>
          <w:lang w:val="es-MX" w:eastAsia="es-MX"/>
        </w:rPr>
        <w:t>recursos a la compra de vacunas o la atención de la salud.</w:t>
      </w:r>
    </w:p>
    <w:p w14:paraId="79669F39" w14:textId="77777777" w:rsidR="00B6298C" w:rsidRPr="00B6298C" w:rsidRDefault="00B6298C" w:rsidP="00B6298C">
      <w:pPr>
        <w:autoSpaceDE w:val="0"/>
        <w:autoSpaceDN w:val="0"/>
        <w:adjustRightInd w:val="0"/>
        <w:rPr>
          <w:color w:val="000000"/>
          <w:sz w:val="24"/>
          <w:szCs w:val="24"/>
          <w:lang w:val="es-MX" w:eastAsia="es-MX"/>
        </w:rPr>
      </w:pPr>
    </w:p>
    <w:p w14:paraId="4E92A48E" w14:textId="77777777" w:rsidR="00B6298C" w:rsidRPr="00B6298C" w:rsidRDefault="00B6298C" w:rsidP="00B6298C">
      <w:pPr>
        <w:autoSpaceDE w:val="0"/>
        <w:autoSpaceDN w:val="0"/>
        <w:adjustRightInd w:val="0"/>
        <w:rPr>
          <w:color w:val="000000"/>
          <w:sz w:val="24"/>
          <w:szCs w:val="24"/>
          <w:lang w:val="es-MX" w:eastAsia="es-MX"/>
        </w:rPr>
      </w:pPr>
      <w:r w:rsidRPr="00B6298C">
        <w:rPr>
          <w:color w:val="000000"/>
          <w:sz w:val="24"/>
          <w:szCs w:val="24"/>
          <w:lang w:val="es-MX" w:eastAsia="es-MX"/>
        </w:rPr>
        <w:t>• Es una decisión criminal dejar a las y los mexicanos más vulnerables sin</w:t>
      </w:r>
    </w:p>
    <w:p w14:paraId="6ABFC575" w14:textId="77777777" w:rsidR="00B6298C" w:rsidRPr="00B6298C" w:rsidRDefault="00B6298C" w:rsidP="00B6298C">
      <w:pPr>
        <w:autoSpaceDE w:val="0"/>
        <w:autoSpaceDN w:val="0"/>
        <w:adjustRightInd w:val="0"/>
        <w:rPr>
          <w:color w:val="000000"/>
          <w:sz w:val="24"/>
          <w:szCs w:val="24"/>
          <w:lang w:val="es-MX" w:eastAsia="es-MX"/>
        </w:rPr>
      </w:pPr>
      <w:r w:rsidRPr="00B6298C">
        <w:rPr>
          <w:color w:val="000000"/>
          <w:sz w:val="24"/>
          <w:szCs w:val="24"/>
          <w:lang w:val="es-MX" w:eastAsia="es-MX"/>
        </w:rPr>
        <w:t>recursos para atender enfermedades graves. Se pone en riesgo la vida de la</w:t>
      </w:r>
    </w:p>
    <w:p w14:paraId="425EF489" w14:textId="5A070C98" w:rsidR="00B6298C" w:rsidRDefault="00B6298C" w:rsidP="00B6298C">
      <w:pPr>
        <w:jc w:val="both"/>
        <w:rPr>
          <w:color w:val="000000"/>
          <w:sz w:val="24"/>
          <w:szCs w:val="24"/>
          <w:lang w:val="es-MX" w:eastAsia="es-MX"/>
        </w:rPr>
      </w:pPr>
      <w:r w:rsidRPr="00B6298C">
        <w:rPr>
          <w:color w:val="000000"/>
          <w:sz w:val="24"/>
          <w:szCs w:val="24"/>
          <w:lang w:val="es-MX" w:eastAsia="es-MX"/>
        </w:rPr>
        <w:t>gente.</w:t>
      </w:r>
    </w:p>
    <w:p w14:paraId="2D1FA610" w14:textId="323270A8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681C3964" w14:textId="1DD2913D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321A97D2" w14:textId="75408666" w:rsidR="00B6298C" w:rsidRDefault="00B6298C" w:rsidP="00B6298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B6298C">
        <w:rPr>
          <w:color w:val="000000"/>
          <w:sz w:val="24"/>
          <w:szCs w:val="24"/>
          <w:lang w:val="es-MX" w:eastAsia="es-MX"/>
        </w:rPr>
        <w:t>En el Grupo Parlamentario del PRI en la Cámara de Diputados rechazamos que se le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Pr="00B6298C">
        <w:rPr>
          <w:color w:val="000000"/>
          <w:sz w:val="24"/>
          <w:szCs w:val="24"/>
          <w:lang w:val="es-MX" w:eastAsia="es-MX"/>
        </w:rPr>
        <w:t>quitar</w:t>
      </w:r>
      <w:r>
        <w:rPr>
          <w:color w:val="000000"/>
          <w:sz w:val="24"/>
          <w:szCs w:val="24"/>
          <w:lang w:val="es-MX" w:eastAsia="es-MX"/>
        </w:rPr>
        <w:t>á</w:t>
      </w:r>
      <w:r w:rsidRPr="00B6298C">
        <w:rPr>
          <w:color w:val="000000"/>
          <w:sz w:val="24"/>
          <w:szCs w:val="24"/>
          <w:lang w:val="es-MX" w:eastAsia="es-MX"/>
        </w:rPr>
        <w:t>n recursos al Fondo de Salud para el Bienestar porque representa un agandalle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Pr="00B6298C">
        <w:rPr>
          <w:color w:val="000000"/>
          <w:sz w:val="24"/>
          <w:szCs w:val="24"/>
          <w:lang w:val="es-MX" w:eastAsia="es-MX"/>
        </w:rPr>
        <w:t>de más de 33 mil millones de pesos a la atención médica y el abasto de medicamentos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Pr="00B6298C">
        <w:rPr>
          <w:color w:val="000000"/>
          <w:sz w:val="24"/>
          <w:szCs w:val="24"/>
          <w:lang w:val="es-MX" w:eastAsia="es-MX"/>
        </w:rPr>
        <w:t>para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Pr="00B6298C">
        <w:rPr>
          <w:color w:val="000000"/>
          <w:sz w:val="24"/>
          <w:szCs w:val="24"/>
          <w:lang w:val="es-MX" w:eastAsia="es-MX"/>
        </w:rPr>
        <w:t>pacientes con enfermedades graves. Con la salud no se juega, nos opusimos a un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Pr="00B6298C">
        <w:rPr>
          <w:color w:val="000000"/>
          <w:sz w:val="24"/>
          <w:szCs w:val="24"/>
          <w:lang w:val="es-MX" w:eastAsia="es-MX"/>
        </w:rPr>
        <w:t>nuevo atraco a los enfermos de México.</w:t>
      </w:r>
    </w:p>
    <w:p w14:paraId="581509BA" w14:textId="3A230724" w:rsidR="00B6298C" w:rsidRDefault="00B6298C" w:rsidP="00B6298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6CD5B4B6" w14:textId="09FE29CC" w:rsidR="00B6298C" w:rsidRDefault="00E65039" w:rsidP="00E6503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E65039">
        <w:rPr>
          <w:color w:val="000000"/>
          <w:sz w:val="24"/>
          <w:szCs w:val="24"/>
          <w:lang w:val="es-MX" w:eastAsia="es-MX"/>
        </w:rPr>
        <w:t xml:space="preserve">Durante la discusión de la reforma a la Ley General de Salud, </w:t>
      </w:r>
      <w:r>
        <w:rPr>
          <w:color w:val="000000"/>
          <w:sz w:val="24"/>
          <w:szCs w:val="24"/>
          <w:lang w:val="es-MX" w:eastAsia="es-MX"/>
        </w:rPr>
        <w:t xml:space="preserve">Norma Guel diputada federal por Aguascalientes, informó que desde el PRI, </w:t>
      </w:r>
      <w:r w:rsidRPr="00E65039">
        <w:rPr>
          <w:color w:val="000000"/>
          <w:sz w:val="24"/>
          <w:szCs w:val="24"/>
          <w:lang w:val="es-MX" w:eastAsia="es-MX"/>
        </w:rPr>
        <w:t>insistimos en que Morena y sus aliados ponen en riesgo la atención y tratamiento de las enfermedades más costosas que sufren los mexicanos. Por necedad y cerrazón aprobaron que los ahorros extraordinarios destinados a la salud se utilizarán para financiar los gastos ordinarios del gobierno. El mal uso de ese dinero puede costar más vidas.</w:t>
      </w:r>
    </w:p>
    <w:p w14:paraId="769636CC" w14:textId="77777777" w:rsidR="00202215" w:rsidRPr="00E65039" w:rsidRDefault="00202215" w:rsidP="00E6503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501EC780" w14:textId="339D3187" w:rsidR="001A11B5" w:rsidRDefault="00202215" w:rsidP="001A11B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202215">
        <w:rPr>
          <w:color w:val="000000"/>
          <w:sz w:val="24"/>
          <w:szCs w:val="24"/>
          <w:lang w:val="es-MX" w:eastAsia="es-MX"/>
        </w:rPr>
        <w:t>“</w:t>
      </w:r>
      <w:r w:rsidR="001A11B5" w:rsidRPr="001A11B5">
        <w:rPr>
          <w:color w:val="000000"/>
          <w:sz w:val="24"/>
          <w:szCs w:val="24"/>
          <w:lang w:val="es-MX" w:eastAsia="es-MX"/>
        </w:rPr>
        <w:t>Morena miente cuando asegura que el dinero será utilizado para la atención de la pandemia; en ninguna parte del dictamen se obliga a las autoridades a utilizar los recursos del Fondo de Salud a la compra de vacunas contra el COVID-19 y otras enfermedades. El gobierno tendrá 33 mil millones de pesos extras que muy probablemente utilizará para otros proyectos</w:t>
      </w:r>
      <w:r>
        <w:rPr>
          <w:color w:val="000000"/>
          <w:sz w:val="24"/>
          <w:szCs w:val="24"/>
          <w:lang w:val="es-MX" w:eastAsia="es-MX"/>
        </w:rPr>
        <w:t>”</w:t>
      </w:r>
      <w:r w:rsidR="001A11B5" w:rsidRPr="001A11B5">
        <w:rPr>
          <w:color w:val="000000"/>
          <w:sz w:val="24"/>
          <w:szCs w:val="24"/>
          <w:lang w:val="es-MX" w:eastAsia="es-MX"/>
        </w:rPr>
        <w:t>.</w:t>
      </w:r>
    </w:p>
    <w:p w14:paraId="07809B8C" w14:textId="6BDBF055" w:rsidR="001A11B5" w:rsidRDefault="001A11B5" w:rsidP="001A11B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1C1FDCAD" w14:textId="786B4A95" w:rsidR="00FF7442" w:rsidRDefault="00B0002A" w:rsidP="00B000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B0002A">
        <w:rPr>
          <w:color w:val="000000"/>
          <w:sz w:val="24"/>
          <w:szCs w:val="24"/>
          <w:lang w:val="es-MX" w:eastAsia="es-MX"/>
        </w:rPr>
        <w:t>Con este traspaso de recursos a la Tesorería de la Federación, ya no se salvará la vida de quienes padecen cáncer, viven con VIH, requieren un trasplante o tienen problemas cardiacos, entre otros; quienes además no han sido atendidos durante la crisis de COVID-19, ahora se abandonarán sus tratamientos y se les dejará sin medicamentos</w:t>
      </w:r>
      <w:r>
        <w:rPr>
          <w:color w:val="000000"/>
          <w:sz w:val="24"/>
          <w:szCs w:val="24"/>
          <w:lang w:val="es-MX" w:eastAsia="es-MX"/>
        </w:rPr>
        <w:t>.</w:t>
      </w:r>
    </w:p>
    <w:p w14:paraId="0A0E7B96" w14:textId="68A7EE59" w:rsidR="00B0002A" w:rsidRDefault="00B0002A" w:rsidP="00B000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7EC312BC" w14:textId="5E7037CE" w:rsidR="00202215" w:rsidRPr="00202215" w:rsidRDefault="00202215" w:rsidP="0020221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 w:rsidRPr="00202215">
        <w:rPr>
          <w:color w:val="000000"/>
          <w:sz w:val="24"/>
          <w:szCs w:val="24"/>
          <w:lang w:val="es-MX" w:eastAsia="es-MX"/>
        </w:rPr>
        <w:t>Votamos en contra de que en plena emergencia mundial se quiten recursos destinados a la salud. En esta crisis todas las vidas valen lo mismo.</w:t>
      </w:r>
    </w:p>
    <w:p w14:paraId="1219C6EF" w14:textId="77777777" w:rsidR="00202215" w:rsidRPr="00202215" w:rsidRDefault="00202215" w:rsidP="0020221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</w:p>
    <w:p w14:paraId="0D6FC9C4" w14:textId="4F7F77F3" w:rsidR="00B0002A" w:rsidRPr="00202215" w:rsidRDefault="00202215" w:rsidP="0020221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Para concluir, Norma Guel, expuso que, desde el GPPRI, l</w:t>
      </w:r>
      <w:r w:rsidRPr="00202215">
        <w:rPr>
          <w:color w:val="000000"/>
          <w:sz w:val="24"/>
          <w:szCs w:val="24"/>
          <w:lang w:val="es-MX" w:eastAsia="es-MX"/>
        </w:rPr>
        <w:t>amentamos que las mayorías parlamentarias se negaran a etiquetar los recursos para la atención del COVID-19, y que una vez más la Cámara de Diputados facilite el uso de recursos públicos extraordinarios para el gobierno federal sin transparencia ni claridad sobre su destino.</w:t>
      </w:r>
    </w:p>
    <w:p w14:paraId="261FE064" w14:textId="77777777" w:rsidR="00CA148C" w:rsidRDefault="00CA148C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6013" w14:textId="77777777" w:rsidR="00A96DF0" w:rsidRDefault="00A96DF0">
      <w:r>
        <w:separator/>
      </w:r>
    </w:p>
  </w:endnote>
  <w:endnote w:type="continuationSeparator" w:id="0">
    <w:p w14:paraId="39BCCFED" w14:textId="77777777" w:rsidR="00A96DF0" w:rsidRDefault="00A9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96DF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A96DF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6E95" w14:textId="77777777" w:rsidR="00A96DF0" w:rsidRDefault="00A96DF0">
      <w:r>
        <w:separator/>
      </w:r>
    </w:p>
  </w:footnote>
  <w:footnote w:type="continuationSeparator" w:id="0">
    <w:p w14:paraId="44A06829" w14:textId="77777777" w:rsidR="00A96DF0" w:rsidRDefault="00A9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8FB6" w14:textId="77777777" w:rsidR="0067289F" w:rsidRDefault="006728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4033" w14:textId="77777777" w:rsidR="0067289F" w:rsidRDefault="00672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CD6272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547298">
      <w:rPr>
        <w:sz w:val="32"/>
        <w:szCs w:val="32"/>
      </w:rPr>
      <w:t>5</w:t>
    </w:r>
    <w:r w:rsidR="0067289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DF0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1A3"/>
    <w:rsid w:val="00B623AB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94</cp:revision>
  <cp:lastPrinted>2018-08-01T00:33:00Z</cp:lastPrinted>
  <dcterms:created xsi:type="dcterms:W3CDTF">2020-10-17T19:09:00Z</dcterms:created>
  <dcterms:modified xsi:type="dcterms:W3CDTF">2020-10-29T04:29:00Z</dcterms:modified>
</cp:coreProperties>
</file>