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43781145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B5AB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30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dic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3A6941A9" w14:textId="611E85A1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6AF9518B" w14:textId="0005D36B" w:rsidR="006F2A35" w:rsidRDefault="006F2A35" w:rsidP="00CD3CB9">
      <w:pPr>
        <w:jc w:val="center"/>
        <w:rPr>
          <w:rFonts w:cs="Arial"/>
          <w:sz w:val="24"/>
          <w:szCs w:val="24"/>
        </w:rPr>
      </w:pPr>
    </w:p>
    <w:p w14:paraId="234FADC2" w14:textId="2E015739" w:rsidR="002B5ABD" w:rsidRPr="00145345" w:rsidRDefault="00E66265" w:rsidP="00CD3CB9">
      <w:pPr>
        <w:jc w:val="center"/>
        <w:rPr>
          <w:rFonts w:cs="Arial"/>
          <w:b/>
          <w:sz w:val="24"/>
          <w:szCs w:val="24"/>
        </w:rPr>
      </w:pPr>
      <w:r w:rsidRPr="00E66265">
        <w:rPr>
          <w:rFonts w:cs="Arial"/>
          <w:b/>
          <w:sz w:val="24"/>
          <w:szCs w:val="24"/>
        </w:rPr>
        <w:t xml:space="preserve">APRUEBA LA COMISIÓN POLÍTICA PERMANENTE QUE EL CDE DEL PRI EMITA LAS CONVOCATORIAS PARA LAS CANDIDATURAS DE ALCALDÍAS Y DIPUTACIONES LOCALES PARA EL PROCESO ELECTORAL 2020-2021 </w:t>
      </w:r>
      <w:r w:rsidR="00145345" w:rsidRPr="00145345">
        <w:rPr>
          <w:rFonts w:cs="Arial"/>
          <w:b/>
          <w:sz w:val="24"/>
          <w:szCs w:val="24"/>
        </w:rPr>
        <w:t xml:space="preserve"> </w:t>
      </w:r>
    </w:p>
    <w:p w14:paraId="4E8A29CA" w14:textId="25721CA7" w:rsidR="002B5ABD" w:rsidRPr="00145345" w:rsidRDefault="002B5ABD" w:rsidP="00CD3CB9">
      <w:pPr>
        <w:jc w:val="center"/>
        <w:rPr>
          <w:rFonts w:cs="Arial"/>
          <w:b/>
          <w:sz w:val="24"/>
          <w:szCs w:val="24"/>
        </w:rPr>
      </w:pPr>
    </w:p>
    <w:p w14:paraId="25C1E638" w14:textId="1AA9CAFD" w:rsidR="002B5ABD" w:rsidRDefault="002B5ABD" w:rsidP="00CD3CB9">
      <w:pPr>
        <w:jc w:val="center"/>
        <w:rPr>
          <w:rFonts w:cs="Arial"/>
          <w:sz w:val="24"/>
          <w:szCs w:val="24"/>
        </w:rPr>
      </w:pPr>
    </w:p>
    <w:p w14:paraId="7E2C061D" w14:textId="6ACE842E" w:rsidR="002B5ABD" w:rsidRDefault="00B16C27" w:rsidP="002B5AB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PRI damos un paso más para construir el triunfo en unidad en el proceso electoral 2020-2021, aseguró e</w:t>
      </w:r>
      <w:r w:rsidR="003D3A19">
        <w:rPr>
          <w:rFonts w:cs="Arial"/>
          <w:sz w:val="24"/>
          <w:szCs w:val="24"/>
        </w:rPr>
        <w:t>l delegado del CEN del PRI, Luis Antonio Muñoz Mosqueda,</w:t>
      </w:r>
      <w:r>
        <w:rPr>
          <w:rFonts w:cs="Arial"/>
          <w:sz w:val="24"/>
          <w:szCs w:val="24"/>
        </w:rPr>
        <w:t xml:space="preserve"> el encabezar</w:t>
      </w:r>
      <w:r w:rsidR="003D3A19">
        <w:rPr>
          <w:rFonts w:cs="Arial"/>
          <w:sz w:val="24"/>
          <w:szCs w:val="24"/>
        </w:rPr>
        <w:t xml:space="preserve"> junto con la dirigencia del CDE del PRI en Aguascalientes, presidente Herminio Ventura Rodríguez y Secretaria General, Leslie Atilano Tapia, </w:t>
      </w:r>
      <w:r w:rsidR="002B5ABD">
        <w:rPr>
          <w:rFonts w:cs="Arial"/>
          <w:sz w:val="24"/>
          <w:szCs w:val="24"/>
        </w:rPr>
        <w:t>la Diputada Federal, Norma Guel Saldívar</w:t>
      </w:r>
      <w:r>
        <w:rPr>
          <w:rFonts w:cs="Arial"/>
          <w:sz w:val="24"/>
          <w:szCs w:val="24"/>
        </w:rPr>
        <w:t>, además de</w:t>
      </w:r>
      <w:r w:rsidR="002B5ABD">
        <w:rPr>
          <w:rFonts w:cs="Arial"/>
          <w:sz w:val="24"/>
          <w:szCs w:val="24"/>
        </w:rPr>
        <w:t xml:space="preserve"> representantes de Sectores y Organizaciones</w:t>
      </w:r>
      <w:r>
        <w:rPr>
          <w:rFonts w:cs="Arial"/>
          <w:sz w:val="24"/>
          <w:szCs w:val="24"/>
        </w:rPr>
        <w:t>, la tercera sesión extraordinaria de la Comisión Política Permanente del Consejo Político Estatal</w:t>
      </w:r>
      <w:r w:rsidR="002B5ABD">
        <w:rPr>
          <w:rFonts w:cs="Arial"/>
          <w:sz w:val="24"/>
          <w:szCs w:val="24"/>
        </w:rPr>
        <w:t>.</w:t>
      </w:r>
    </w:p>
    <w:p w14:paraId="0FB1D9BE" w14:textId="34FAF968" w:rsidR="00B16C27" w:rsidRDefault="00B16C27" w:rsidP="002B5ABD">
      <w:pPr>
        <w:jc w:val="both"/>
        <w:rPr>
          <w:rFonts w:cs="Arial"/>
          <w:sz w:val="24"/>
          <w:szCs w:val="24"/>
        </w:rPr>
      </w:pPr>
    </w:p>
    <w:p w14:paraId="1B3EEB24" w14:textId="77EC06F8" w:rsidR="00B16C27" w:rsidRDefault="00B16C27" w:rsidP="002B5AB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Vía plataformas digitales y de manera presencial se aprobó por mayoría </w:t>
      </w:r>
      <w:r w:rsidR="00E801CD">
        <w:rPr>
          <w:rFonts w:cs="Arial"/>
          <w:sz w:val="24"/>
          <w:szCs w:val="24"/>
        </w:rPr>
        <w:t xml:space="preserve">del Consejo </w:t>
      </w:r>
      <w:r w:rsidR="00424330">
        <w:rPr>
          <w:rFonts w:cs="Arial"/>
          <w:sz w:val="24"/>
          <w:szCs w:val="24"/>
        </w:rPr>
        <w:t xml:space="preserve">que el Comité Directivo Estatal, emita las </w:t>
      </w:r>
      <w:r>
        <w:rPr>
          <w:rFonts w:cs="Arial"/>
          <w:sz w:val="24"/>
          <w:szCs w:val="24"/>
        </w:rPr>
        <w:t xml:space="preserve">Convocatorias para la Selección y Postulación de las </w:t>
      </w:r>
      <w:r w:rsidR="00424330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andidaturas a las </w:t>
      </w:r>
      <w:r w:rsidR="00424330">
        <w:rPr>
          <w:rFonts w:cs="Arial"/>
          <w:sz w:val="24"/>
          <w:szCs w:val="24"/>
        </w:rPr>
        <w:t>Di</w:t>
      </w:r>
      <w:r>
        <w:rPr>
          <w:rFonts w:cs="Arial"/>
          <w:sz w:val="24"/>
          <w:szCs w:val="24"/>
        </w:rPr>
        <w:t xml:space="preserve">putaciones </w:t>
      </w:r>
      <w:r w:rsidR="00424330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 xml:space="preserve">ocales y </w:t>
      </w:r>
      <w:r w:rsidR="00424330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residencias </w:t>
      </w:r>
      <w:r w:rsidR="00424330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unicipales, por el principio de mayoría relativa, mediante el procedimiento de Comisión para la Postulación de Candidaturas, para el proceso electoral 2020-202</w:t>
      </w:r>
      <w:r w:rsidR="00E801CD">
        <w:rPr>
          <w:rFonts w:cs="Arial"/>
          <w:sz w:val="24"/>
          <w:szCs w:val="24"/>
        </w:rPr>
        <w:t>1.</w:t>
      </w:r>
    </w:p>
    <w:p w14:paraId="78ED983D" w14:textId="4DF66355" w:rsidR="00E801CD" w:rsidRDefault="00E801CD" w:rsidP="002B5ABD">
      <w:pPr>
        <w:jc w:val="both"/>
        <w:rPr>
          <w:rFonts w:cs="Arial"/>
          <w:sz w:val="24"/>
          <w:szCs w:val="24"/>
        </w:rPr>
      </w:pPr>
    </w:p>
    <w:p w14:paraId="11786BB5" w14:textId="77777777" w:rsidR="0078503C" w:rsidRPr="0078503C" w:rsidRDefault="0078503C" w:rsidP="0078503C">
      <w:pPr>
        <w:pStyle w:val="Prrafodelista"/>
        <w:numPr>
          <w:ilvl w:val="0"/>
          <w:numId w:val="45"/>
        </w:numPr>
        <w:spacing w:after="160" w:line="259" w:lineRule="auto"/>
        <w:ind w:left="284"/>
        <w:jc w:val="both"/>
        <w:rPr>
          <w:rFonts w:cs="Arial"/>
          <w:sz w:val="24"/>
          <w:szCs w:val="24"/>
        </w:rPr>
      </w:pPr>
      <w:r w:rsidRPr="0078503C">
        <w:rPr>
          <w:rFonts w:cs="Arial"/>
          <w:sz w:val="24"/>
          <w:szCs w:val="24"/>
        </w:rPr>
        <w:t>Que el artículo 132 del Código Electoral del Estado de Aguascalientes señala que los procesos internos para la selección de candidatos a cargos de elección popular son el conjunto de actividades que realizan los partidos políticos y los precandidatos a dichos cargos, de conformidad con las disposiciones legales y las que aprueben los órganos de dirección de cada partido;</w:t>
      </w:r>
    </w:p>
    <w:p w14:paraId="53C8C02A" w14:textId="77777777" w:rsidR="0078503C" w:rsidRPr="0078503C" w:rsidRDefault="0078503C" w:rsidP="0078503C">
      <w:pPr>
        <w:pStyle w:val="Prrafodelista"/>
        <w:ind w:left="284"/>
        <w:jc w:val="both"/>
        <w:rPr>
          <w:rFonts w:cs="Arial"/>
          <w:sz w:val="24"/>
          <w:szCs w:val="24"/>
        </w:rPr>
      </w:pPr>
    </w:p>
    <w:p w14:paraId="5780FB0D" w14:textId="77777777" w:rsidR="0078503C" w:rsidRPr="0078503C" w:rsidRDefault="0078503C" w:rsidP="0078503C">
      <w:pPr>
        <w:pStyle w:val="Prrafodelista"/>
        <w:numPr>
          <w:ilvl w:val="0"/>
          <w:numId w:val="45"/>
        </w:numPr>
        <w:spacing w:after="160" w:line="259" w:lineRule="auto"/>
        <w:ind w:left="284"/>
        <w:jc w:val="both"/>
        <w:rPr>
          <w:rFonts w:cs="Arial"/>
          <w:sz w:val="24"/>
          <w:szCs w:val="24"/>
        </w:rPr>
      </w:pPr>
      <w:r w:rsidRPr="0078503C">
        <w:rPr>
          <w:rFonts w:cs="Arial"/>
          <w:sz w:val="24"/>
          <w:szCs w:val="24"/>
        </w:rPr>
        <w:t>Que el artículo 194 de nuestros Estatutos, establece que el proceso interno para seleccionar y postular candidatas y candidatos a puestos de elección popular deberá regirse por las disposiciones estatutarias y del reglamento respectivo;</w:t>
      </w:r>
    </w:p>
    <w:p w14:paraId="0A2BFBDD" w14:textId="77777777" w:rsidR="0078503C" w:rsidRPr="0078503C" w:rsidRDefault="0078503C" w:rsidP="0078503C">
      <w:pPr>
        <w:pStyle w:val="Prrafodelista"/>
        <w:rPr>
          <w:rFonts w:cs="Arial"/>
          <w:sz w:val="24"/>
          <w:szCs w:val="24"/>
        </w:rPr>
      </w:pPr>
    </w:p>
    <w:p w14:paraId="546A1477" w14:textId="77777777" w:rsidR="0078503C" w:rsidRPr="0078503C" w:rsidRDefault="0078503C" w:rsidP="0078503C">
      <w:pPr>
        <w:pStyle w:val="Prrafodelista"/>
        <w:numPr>
          <w:ilvl w:val="0"/>
          <w:numId w:val="45"/>
        </w:numPr>
        <w:spacing w:after="160" w:line="259" w:lineRule="auto"/>
        <w:ind w:left="284"/>
        <w:jc w:val="both"/>
        <w:rPr>
          <w:rFonts w:cs="Arial"/>
          <w:sz w:val="24"/>
          <w:szCs w:val="24"/>
        </w:rPr>
      </w:pPr>
      <w:r w:rsidRPr="0078503C">
        <w:rPr>
          <w:rFonts w:cs="Arial"/>
          <w:sz w:val="24"/>
          <w:szCs w:val="24"/>
        </w:rPr>
        <w:t>Que el pasado 12 de noviembre de 2020, esta Comisión Política Permanente aprobó que para la selección y postulación de las candidaturas a las presidencias municipales y diputaciones locales propietarios por el principio de mayoría relativa, se utilizara el procedimiento estatutario de Comisión para la Postulación de Candidaturas en los once municipios y dieciocho distritos locales uninominales;</w:t>
      </w:r>
    </w:p>
    <w:p w14:paraId="04A00881" w14:textId="77777777" w:rsidR="0078503C" w:rsidRPr="0078503C" w:rsidRDefault="0078503C" w:rsidP="0078503C">
      <w:pPr>
        <w:pStyle w:val="Prrafodelista"/>
        <w:rPr>
          <w:rFonts w:cs="Arial"/>
          <w:sz w:val="24"/>
          <w:szCs w:val="24"/>
        </w:rPr>
      </w:pPr>
    </w:p>
    <w:p w14:paraId="0A72E63A" w14:textId="77777777" w:rsidR="0078503C" w:rsidRPr="0078503C" w:rsidRDefault="0078503C" w:rsidP="0078503C">
      <w:pPr>
        <w:pStyle w:val="Prrafodelista"/>
        <w:numPr>
          <w:ilvl w:val="0"/>
          <w:numId w:val="45"/>
        </w:numPr>
        <w:spacing w:after="160" w:line="259" w:lineRule="auto"/>
        <w:ind w:left="284"/>
        <w:jc w:val="both"/>
        <w:rPr>
          <w:rFonts w:cs="Arial"/>
          <w:sz w:val="24"/>
          <w:szCs w:val="24"/>
        </w:rPr>
      </w:pPr>
      <w:r w:rsidRPr="0078503C">
        <w:rPr>
          <w:rFonts w:cs="Arial"/>
          <w:sz w:val="24"/>
          <w:szCs w:val="24"/>
        </w:rPr>
        <w:t>Que el artículo 211, de los ya señalados Estatutos determina que las convocatorias para postular candidatos y candidatas a diputaciones locales y presidencias municipales se expedirán por el Comité Directivo Estatal, previa aprobación del Consejo Político de la entidad y del Presidente del Comité Ejecutivo Nacional; y</w:t>
      </w:r>
    </w:p>
    <w:p w14:paraId="74F6FCBC" w14:textId="77777777" w:rsidR="0078503C" w:rsidRPr="0078503C" w:rsidRDefault="0078503C" w:rsidP="0078503C">
      <w:pPr>
        <w:pStyle w:val="Prrafodelista"/>
        <w:rPr>
          <w:rFonts w:cs="Arial"/>
          <w:sz w:val="24"/>
          <w:szCs w:val="24"/>
        </w:rPr>
      </w:pPr>
    </w:p>
    <w:p w14:paraId="004D816F" w14:textId="641FA83A" w:rsidR="00E801CD" w:rsidRDefault="0078503C" w:rsidP="0078503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5.- </w:t>
      </w:r>
      <w:r w:rsidRPr="0078503C">
        <w:rPr>
          <w:rFonts w:cs="Arial"/>
          <w:sz w:val="24"/>
          <w:szCs w:val="24"/>
        </w:rPr>
        <w:t>Que el artículo 47, tercer párrafo, del Reglamento para Elección de Dirigentes y Postulación de Candidaturas ordena que los Consejos Políticos de las entidades federativas aprobarán que el Comité Directivo correspondiente emita las convocatorias para la postulación de candidaturas a las diputaciones locales y los ayuntamientos</w:t>
      </w:r>
      <w:r w:rsidR="00145345">
        <w:rPr>
          <w:rFonts w:cs="Arial"/>
          <w:sz w:val="24"/>
          <w:szCs w:val="24"/>
        </w:rPr>
        <w:t>.</w:t>
      </w:r>
    </w:p>
    <w:p w14:paraId="55F5E879" w14:textId="55E44DFC" w:rsidR="00145345" w:rsidRDefault="00145345" w:rsidP="0078503C">
      <w:pPr>
        <w:jc w:val="both"/>
        <w:rPr>
          <w:rFonts w:cs="Arial"/>
          <w:sz w:val="24"/>
          <w:szCs w:val="24"/>
        </w:rPr>
      </w:pPr>
    </w:p>
    <w:p w14:paraId="3290A932" w14:textId="72B7A52C" w:rsidR="00145345" w:rsidRDefault="00145345" w:rsidP="0078503C">
      <w:pPr>
        <w:jc w:val="both"/>
        <w:rPr>
          <w:rFonts w:cs="Arial"/>
          <w:sz w:val="24"/>
          <w:szCs w:val="24"/>
        </w:rPr>
      </w:pPr>
    </w:p>
    <w:p w14:paraId="0A488A2A" w14:textId="77777777" w:rsidR="00145345" w:rsidRDefault="00145345" w:rsidP="0078503C">
      <w:pPr>
        <w:jc w:val="both"/>
        <w:rPr>
          <w:rFonts w:cs="Arial"/>
          <w:sz w:val="24"/>
          <w:szCs w:val="24"/>
        </w:rPr>
      </w:pPr>
    </w:p>
    <w:p w14:paraId="74F34D6E" w14:textId="77777777" w:rsidR="0078503C" w:rsidRDefault="0078503C" w:rsidP="00CD3CB9">
      <w:pPr>
        <w:jc w:val="center"/>
        <w:rPr>
          <w:rFonts w:cs="Arial"/>
          <w:sz w:val="24"/>
          <w:szCs w:val="24"/>
        </w:rPr>
      </w:pPr>
    </w:p>
    <w:p w14:paraId="335F4959" w14:textId="7F477F80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E95F" w14:textId="77777777" w:rsidR="005E35F1" w:rsidRDefault="005E35F1">
      <w:r>
        <w:separator/>
      </w:r>
    </w:p>
  </w:endnote>
  <w:endnote w:type="continuationSeparator" w:id="0">
    <w:p w14:paraId="3A0466B2" w14:textId="77777777" w:rsidR="005E35F1" w:rsidRDefault="005E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5E35F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5E35F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58D59" w14:textId="77777777" w:rsidR="005E35F1" w:rsidRDefault="005E35F1">
      <w:r>
        <w:separator/>
      </w:r>
    </w:p>
  </w:footnote>
  <w:footnote w:type="continuationSeparator" w:id="0">
    <w:p w14:paraId="5B8C21BD" w14:textId="77777777" w:rsidR="005E35F1" w:rsidRDefault="005E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18EDB80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F81074">
      <w:rPr>
        <w:sz w:val="32"/>
        <w:szCs w:val="32"/>
      </w:rPr>
      <w:t>8</w:t>
    </w:r>
    <w:r w:rsidR="00EA2208">
      <w:rPr>
        <w:sz w:val="32"/>
        <w:szCs w:val="32"/>
      </w:rPr>
      <w:t>9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1"/>
  </w:num>
  <w:num w:numId="4">
    <w:abstractNumId w:val="23"/>
  </w:num>
  <w:num w:numId="5">
    <w:abstractNumId w:val="16"/>
  </w:num>
  <w:num w:numId="6">
    <w:abstractNumId w:val="32"/>
  </w:num>
  <w:num w:numId="7">
    <w:abstractNumId w:val="35"/>
  </w:num>
  <w:num w:numId="8">
    <w:abstractNumId w:val="19"/>
  </w:num>
  <w:num w:numId="9">
    <w:abstractNumId w:val="28"/>
  </w:num>
  <w:num w:numId="10">
    <w:abstractNumId w:val="34"/>
  </w:num>
  <w:num w:numId="11">
    <w:abstractNumId w:val="40"/>
  </w:num>
  <w:num w:numId="12">
    <w:abstractNumId w:val="43"/>
  </w:num>
  <w:num w:numId="13">
    <w:abstractNumId w:val="18"/>
  </w:num>
  <w:num w:numId="14">
    <w:abstractNumId w:val="15"/>
  </w:num>
  <w:num w:numId="15">
    <w:abstractNumId w:val="25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3"/>
  </w:num>
  <w:num w:numId="22">
    <w:abstractNumId w:val="4"/>
  </w:num>
  <w:num w:numId="23">
    <w:abstractNumId w:val="14"/>
  </w:num>
  <w:num w:numId="24">
    <w:abstractNumId w:val="5"/>
  </w:num>
  <w:num w:numId="25">
    <w:abstractNumId w:val="29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37"/>
  </w:num>
  <w:num w:numId="31">
    <w:abstractNumId w:val="44"/>
  </w:num>
  <w:num w:numId="32">
    <w:abstractNumId w:val="26"/>
  </w:num>
  <w:num w:numId="33">
    <w:abstractNumId w:val="12"/>
  </w:num>
  <w:num w:numId="34">
    <w:abstractNumId w:val="0"/>
  </w:num>
  <w:num w:numId="35">
    <w:abstractNumId w:val="39"/>
  </w:num>
  <w:num w:numId="36">
    <w:abstractNumId w:val="9"/>
  </w:num>
  <w:num w:numId="37">
    <w:abstractNumId w:val="17"/>
  </w:num>
  <w:num w:numId="38">
    <w:abstractNumId w:val="27"/>
  </w:num>
  <w:num w:numId="39">
    <w:abstractNumId w:val="42"/>
  </w:num>
  <w:num w:numId="40">
    <w:abstractNumId w:val="30"/>
  </w:num>
  <w:num w:numId="41">
    <w:abstractNumId w:val="20"/>
  </w:num>
  <w:num w:numId="42">
    <w:abstractNumId w:val="38"/>
  </w:num>
  <w:num w:numId="43">
    <w:abstractNumId w:val="36"/>
  </w:num>
  <w:num w:numId="44">
    <w:abstractNumId w:val="1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C02"/>
    <w:rsid w:val="005D6C2D"/>
    <w:rsid w:val="005D6F6F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351</cp:revision>
  <cp:lastPrinted>2020-12-21T20:23:00Z</cp:lastPrinted>
  <dcterms:created xsi:type="dcterms:W3CDTF">2020-10-17T19:09:00Z</dcterms:created>
  <dcterms:modified xsi:type="dcterms:W3CDTF">2020-12-30T19:23:00Z</dcterms:modified>
</cp:coreProperties>
</file>